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1B060B">
        <w:rPr>
          <w:rFonts w:ascii="Times New Roman" w:hAnsi="Times New Roman"/>
          <w:sz w:val="24"/>
          <w:szCs w:val="24"/>
        </w:rPr>
        <w:t xml:space="preserve">Приказ № </w:t>
      </w:r>
      <w:r w:rsidR="001B060B" w:rsidRPr="001B060B">
        <w:rPr>
          <w:rFonts w:ascii="Times New Roman" w:hAnsi="Times New Roman"/>
          <w:sz w:val="24"/>
          <w:szCs w:val="24"/>
        </w:rPr>
        <w:t>18</w:t>
      </w:r>
      <w:r w:rsidR="00CA414A" w:rsidRPr="001B060B">
        <w:rPr>
          <w:rFonts w:ascii="Times New Roman" w:hAnsi="Times New Roman"/>
          <w:sz w:val="24"/>
          <w:szCs w:val="24"/>
          <w:lang w:val="kk-KZ"/>
        </w:rPr>
        <w:t xml:space="preserve"> </w:t>
      </w:r>
      <w:r w:rsidR="00CA414A" w:rsidRPr="001B060B">
        <w:rPr>
          <w:rFonts w:ascii="Times New Roman" w:hAnsi="Times New Roman"/>
          <w:sz w:val="24"/>
          <w:szCs w:val="24"/>
        </w:rPr>
        <w:t>от «</w:t>
      </w:r>
      <w:r w:rsidR="001B060B" w:rsidRPr="001B060B">
        <w:rPr>
          <w:rFonts w:ascii="Times New Roman" w:hAnsi="Times New Roman"/>
          <w:sz w:val="24"/>
          <w:szCs w:val="24"/>
        </w:rPr>
        <w:t>24</w:t>
      </w:r>
      <w:r w:rsidR="00D86D02" w:rsidRPr="001B060B">
        <w:rPr>
          <w:rFonts w:ascii="Times New Roman" w:hAnsi="Times New Roman"/>
          <w:sz w:val="24"/>
          <w:szCs w:val="24"/>
        </w:rPr>
        <w:t>»</w:t>
      </w:r>
      <w:r w:rsidR="00B855BC" w:rsidRPr="001B060B">
        <w:rPr>
          <w:rFonts w:ascii="Times New Roman" w:hAnsi="Times New Roman"/>
          <w:sz w:val="24"/>
          <w:szCs w:val="24"/>
        </w:rPr>
        <w:t xml:space="preserve"> января </w:t>
      </w:r>
      <w:r w:rsidR="00E76966" w:rsidRPr="001B060B">
        <w:rPr>
          <w:rFonts w:ascii="Times New Roman" w:hAnsi="Times New Roman"/>
          <w:sz w:val="24"/>
          <w:szCs w:val="24"/>
        </w:rPr>
        <w:t>2022</w:t>
      </w:r>
      <w:r w:rsidR="00D86D02" w:rsidRPr="001B060B">
        <w:rPr>
          <w:rFonts w:ascii="Times New Roman" w:hAnsi="Times New Roman"/>
          <w:sz w:val="24"/>
          <w:szCs w:val="24"/>
        </w:rPr>
        <w:t xml:space="preserve"> г.</w:t>
      </w:r>
      <w:r w:rsidR="00D86D02" w:rsidRPr="00AC7E72">
        <w:rPr>
          <w:rFonts w:ascii="Times New Roman" w:hAnsi="Times New Roman"/>
          <w:sz w:val="24"/>
          <w:szCs w:val="24"/>
        </w:rPr>
        <w:t xml:space="preserve">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DC07C5" w:rsidRDefault="00BB2690" w:rsidP="006546F4">
      <w:pPr>
        <w:jc w:val="center"/>
        <w:rPr>
          <w:b/>
          <w:bCs/>
          <w:sz w:val="24"/>
          <w:szCs w:val="24"/>
        </w:rPr>
      </w:pPr>
      <w:r w:rsidRPr="00AC7E72">
        <w:rPr>
          <w:b/>
          <w:sz w:val="24"/>
          <w:szCs w:val="24"/>
        </w:rPr>
        <w:t xml:space="preserve">по </w:t>
      </w:r>
      <w:r w:rsidR="00DC07C5" w:rsidRPr="00DC07C5">
        <w:rPr>
          <w:b/>
          <w:bCs/>
          <w:sz w:val="24"/>
          <w:szCs w:val="24"/>
        </w:rPr>
        <w:t>закуп</w:t>
      </w:r>
      <w:r w:rsidR="00DC07C5" w:rsidRPr="00DC07C5">
        <w:rPr>
          <w:b/>
          <w:bCs/>
          <w:sz w:val="24"/>
          <w:szCs w:val="24"/>
          <w:lang w:val="kk-KZ"/>
        </w:rPr>
        <w:t xml:space="preserve">у расходных материалов к </w:t>
      </w:r>
      <w:r w:rsidR="00DC07C5" w:rsidRPr="00DC07C5">
        <w:rPr>
          <w:b/>
          <w:bCs/>
          <w:sz w:val="24"/>
          <w:szCs w:val="24"/>
        </w:rPr>
        <w:t xml:space="preserve">моторной системе </w:t>
      </w:r>
    </w:p>
    <w:p w:rsidR="006546F4" w:rsidRPr="00AC7E72" w:rsidRDefault="00DC07C5" w:rsidP="006546F4">
      <w:pPr>
        <w:jc w:val="center"/>
        <w:rPr>
          <w:b/>
          <w:sz w:val="24"/>
          <w:szCs w:val="24"/>
        </w:rPr>
      </w:pPr>
      <w:r w:rsidRPr="00DC07C5">
        <w:rPr>
          <w:b/>
          <w:bCs/>
          <w:sz w:val="24"/>
          <w:szCs w:val="24"/>
        </w:rPr>
        <w:t xml:space="preserve">ELAN 4 </w:t>
      </w:r>
      <w:proofErr w:type="gramStart"/>
      <w:r w:rsidRPr="00DC07C5">
        <w:rPr>
          <w:b/>
          <w:bCs/>
          <w:sz w:val="24"/>
          <w:szCs w:val="24"/>
        </w:rPr>
        <w:t>электрическая</w:t>
      </w:r>
      <w:proofErr w:type="gramEnd"/>
      <w:r w:rsidR="00BF1D7F" w:rsidRPr="00AC7E72">
        <w:rPr>
          <w:b/>
          <w:bCs/>
          <w:sz w:val="24"/>
          <w:szCs w:val="24"/>
        </w:rPr>
        <w:t xml:space="preserve"> </w:t>
      </w:r>
      <w:r w:rsidR="00B84816" w:rsidRPr="00AC7E72">
        <w:rPr>
          <w:b/>
          <w:sz w:val="24"/>
          <w:szCs w:val="24"/>
        </w:rPr>
        <w:t>н</w:t>
      </w:r>
      <w:r w:rsidR="00E76966" w:rsidRPr="00AC7E72">
        <w:rPr>
          <w:b/>
          <w:sz w:val="24"/>
          <w:szCs w:val="24"/>
        </w:rPr>
        <w:t>а 2022</w:t>
      </w:r>
      <w:r w:rsidR="006546F4" w:rsidRPr="00AC7E72">
        <w:rPr>
          <w:b/>
          <w:sz w:val="24"/>
          <w:szCs w:val="24"/>
          <w:lang w:val="kk-KZ"/>
        </w:rPr>
        <w:t xml:space="preserve"> </w:t>
      </w:r>
      <w:r w:rsidR="006546F4" w:rsidRPr="00AC7E72">
        <w:rPr>
          <w:b/>
          <w:sz w:val="24"/>
          <w:szCs w:val="24"/>
        </w:rPr>
        <w:t>г</w:t>
      </w:r>
      <w:r w:rsidR="006546F4" w:rsidRPr="00AC7E72">
        <w:rPr>
          <w:b/>
          <w:sz w:val="24"/>
          <w:szCs w:val="24"/>
          <w:lang w:val="kk-KZ"/>
        </w:rPr>
        <w:t>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lastRenderedPageBreak/>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r w:rsidRPr="00AC7E72">
        <w:rPr>
          <w:sz w:val="24"/>
          <w:szCs w:val="24"/>
        </w:rPr>
        <w:t xml:space="preserve">1) наличие государственной регистрации в Республике Казахстан в соответствии </w:t>
      </w:r>
      <w:proofErr w:type="gramStart"/>
      <w:r w:rsidRPr="00AC7E72">
        <w:rPr>
          <w:sz w:val="24"/>
          <w:szCs w:val="24"/>
        </w:rPr>
        <w:t>с</w:t>
      </w:r>
      <w:proofErr w:type="gramEnd"/>
      <w:r w:rsidR="00AF4A5C" w:rsidRPr="00AC7E72">
        <w:rPr>
          <w:sz w:val="24"/>
          <w:szCs w:val="24"/>
        </w:rPr>
        <w:t xml:space="preserve"> </w:t>
      </w:r>
      <w:proofErr w:type="gramStart"/>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 xml:space="preserve">уполномоченным органом в области здравоохранения, комплектующих, </w:t>
      </w:r>
      <w:proofErr w:type="gramEnd"/>
      <w:r w:rsidRPr="00AC7E72">
        <w:rPr>
          <w:sz w:val="24"/>
          <w:szCs w:val="24"/>
        </w:rPr>
        <w:t>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lastRenderedPageBreak/>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комплекта 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8D11D1">
        <w:rPr>
          <w:sz w:val="24"/>
          <w:szCs w:val="24"/>
        </w:rPr>
        <w:t>6</w:t>
      </w:r>
      <w:r w:rsidR="004F6CE0" w:rsidRPr="00AC7E72">
        <w:rPr>
          <w:sz w:val="24"/>
          <w:szCs w:val="24"/>
        </w:rPr>
        <w:t>)</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 xml:space="preserve">Тендер по </w:t>
      </w:r>
      <w:r w:rsidR="00A20BF9" w:rsidRPr="00A20BF9">
        <w:rPr>
          <w:b/>
          <w:bCs/>
          <w:color w:val="000000"/>
          <w:sz w:val="24"/>
          <w:szCs w:val="24"/>
        </w:rPr>
        <w:t>закуп</w:t>
      </w:r>
      <w:r w:rsidR="00A20BF9" w:rsidRPr="00A20BF9">
        <w:rPr>
          <w:b/>
          <w:bCs/>
          <w:color w:val="000000"/>
          <w:sz w:val="24"/>
          <w:szCs w:val="24"/>
          <w:lang w:val="kk-KZ"/>
        </w:rPr>
        <w:t xml:space="preserve">у расходных материалов к </w:t>
      </w:r>
      <w:r w:rsidR="00A20BF9" w:rsidRPr="00A20BF9">
        <w:rPr>
          <w:b/>
          <w:bCs/>
          <w:color w:val="000000"/>
          <w:sz w:val="24"/>
          <w:szCs w:val="24"/>
        </w:rPr>
        <w:t xml:space="preserve">моторной системе ELAN 4 </w:t>
      </w:r>
      <w:proofErr w:type="gramStart"/>
      <w:r w:rsidR="00A20BF9" w:rsidRPr="00A20BF9">
        <w:rPr>
          <w:b/>
          <w:bCs/>
          <w:color w:val="000000"/>
          <w:sz w:val="24"/>
          <w:szCs w:val="24"/>
        </w:rPr>
        <w:t>электрическая</w:t>
      </w:r>
      <w:proofErr w:type="gramEnd"/>
      <w:r w:rsidR="005D6DB4" w:rsidRPr="00AC7E72">
        <w:rPr>
          <w:rStyle w:val="s0"/>
          <w:b/>
          <w:sz w:val="24"/>
          <w:szCs w:val="24"/>
        </w:rPr>
        <w:t>» и</w:t>
      </w:r>
      <w:r w:rsidR="001F6AEB" w:rsidRPr="00AC7E72">
        <w:rPr>
          <w:rStyle w:val="s0"/>
          <w:b/>
          <w:sz w:val="24"/>
          <w:szCs w:val="24"/>
        </w:rPr>
        <w:t xml:space="preserve"> «Не вскрывать до 11.00 часов «</w:t>
      </w:r>
      <w:r w:rsidR="00E667B0">
        <w:rPr>
          <w:rStyle w:val="s0"/>
          <w:b/>
          <w:sz w:val="24"/>
          <w:szCs w:val="24"/>
        </w:rPr>
        <w:t>14</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E667B0">
        <w:rPr>
          <w:b/>
          <w:sz w:val="24"/>
          <w:szCs w:val="24"/>
        </w:rPr>
        <w:t>14</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w:t>
      </w:r>
      <w:r w:rsidR="00E667B0">
        <w:rPr>
          <w:b/>
          <w:sz w:val="24"/>
          <w:szCs w:val="24"/>
        </w:rPr>
        <w:t>14</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E667B0">
        <w:rPr>
          <w:b/>
          <w:sz w:val="24"/>
          <w:szCs w:val="24"/>
        </w:rPr>
        <w:t>14</w:t>
      </w:r>
      <w:bookmarkStart w:id="7" w:name="_GoBack"/>
      <w:bookmarkEnd w:id="7"/>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8"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9" w:name="z342"/>
      <w:bookmarkEnd w:id="8"/>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10" w:name="z343"/>
      <w:bookmarkEnd w:id="9"/>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1" w:name="z344"/>
      <w:bookmarkEnd w:id="10"/>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2" w:name="z345"/>
      <w:bookmarkEnd w:id="11"/>
      <w:r w:rsidRPr="00AC7E72">
        <w:rPr>
          <w:sz w:val="24"/>
          <w:szCs w:val="24"/>
        </w:rPr>
        <w:t xml:space="preserve">5) </w:t>
      </w:r>
      <w:bookmarkStart w:id="13" w:name="z346"/>
      <w:bookmarkEnd w:id="12"/>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4" w:name="z347"/>
      <w:bookmarkEnd w:id="13"/>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5" w:name="z348"/>
      <w:bookmarkEnd w:id="14"/>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5"/>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6" w:name="z324"/>
      <w:bookmarkEnd w:id="16"/>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7" w:name="z373"/>
      <w:r w:rsidRPr="00AC7E72">
        <w:rPr>
          <w:sz w:val="24"/>
          <w:szCs w:val="24"/>
        </w:rPr>
        <w:t xml:space="preserve">2) </w:t>
      </w:r>
      <w:bookmarkStart w:id="18" w:name="z374"/>
      <w:bookmarkEnd w:id="17"/>
      <w:r w:rsidR="006F319F" w:rsidRPr="00AC7E72">
        <w:rPr>
          <w:sz w:val="24"/>
          <w:szCs w:val="24"/>
        </w:rPr>
        <w:t>отклонение всех тендерных заявок потенциальных поставщиков.</w:t>
      </w:r>
    </w:p>
    <w:bookmarkEnd w:id="18"/>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9" w:name="z322"/>
      <w:bookmarkEnd w:id="19"/>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20" w:name="z60"/>
      <w:bookmarkEnd w:id="20"/>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1"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2" w:name="z200"/>
      <w:bookmarkEnd w:id="21"/>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2"/>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3"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4" w:name="z209"/>
      <w:bookmarkEnd w:id="23"/>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5" w:name="z210"/>
      <w:bookmarkEnd w:id="24"/>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6" w:name="z211"/>
      <w:bookmarkEnd w:id="25"/>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7" w:name="z212"/>
      <w:bookmarkEnd w:id="26"/>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3"/>
      <w:bookmarkEnd w:id="27"/>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9" w:name="z214"/>
      <w:bookmarkEnd w:id="28"/>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30" w:name="z215"/>
      <w:bookmarkEnd w:id="29"/>
      <w:r w:rsidRPr="00AC7E72">
        <w:rPr>
          <w:b/>
          <w:sz w:val="24"/>
          <w:szCs w:val="24"/>
        </w:rPr>
        <w:t>58</w:t>
      </w:r>
      <w:r w:rsidR="009810BE" w:rsidRPr="00AC7E72">
        <w:rPr>
          <w:b/>
          <w:sz w:val="24"/>
          <w:szCs w:val="24"/>
        </w:rPr>
        <w:t>.</w:t>
      </w:r>
      <w:r w:rsidR="009810BE" w:rsidRPr="00AC7E72">
        <w:rPr>
          <w:sz w:val="24"/>
          <w:szCs w:val="24"/>
        </w:rPr>
        <w:t xml:space="preserve"> </w:t>
      </w:r>
      <w:bookmarkStart w:id="31" w:name="z216"/>
      <w:bookmarkEnd w:id="30"/>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2" w:name="z217"/>
      <w:bookmarkEnd w:id="31"/>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2"/>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3"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4" w:name="z396"/>
      <w:bookmarkEnd w:id="33"/>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5" w:name="z397"/>
      <w:bookmarkEnd w:id="34"/>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6" w:name="z398"/>
      <w:bookmarkEnd w:id="35"/>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7" w:name="z399"/>
      <w:bookmarkEnd w:id="36"/>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8" w:name="z400"/>
      <w:bookmarkEnd w:id="37"/>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9" w:name="z401"/>
      <w:bookmarkEnd w:id="38"/>
      <w:r w:rsidRPr="00AC7E72">
        <w:rPr>
          <w:b/>
          <w:sz w:val="24"/>
          <w:szCs w:val="24"/>
        </w:rPr>
        <w:t>69</w:t>
      </w:r>
      <w:r w:rsidR="00B87506" w:rsidRPr="00AC7E72">
        <w:rPr>
          <w:b/>
          <w:sz w:val="24"/>
          <w:szCs w:val="24"/>
        </w:rPr>
        <w:t>.</w:t>
      </w:r>
      <w:r w:rsidR="00B87506" w:rsidRPr="00AC7E72">
        <w:rPr>
          <w:sz w:val="24"/>
          <w:szCs w:val="24"/>
        </w:rPr>
        <w:t xml:space="preserve"> </w:t>
      </w:r>
      <w:bookmarkEnd w:id="39"/>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40"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1" w:name="z412"/>
      <w:bookmarkEnd w:id="40"/>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2" w:name="z413"/>
      <w:bookmarkEnd w:id="41"/>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3912CB" w:rsidRPr="00AC7E72" w:rsidRDefault="003912CB" w:rsidP="003912CB">
      <w:pPr>
        <w:rPr>
          <w:sz w:val="24"/>
          <w:szCs w:val="24"/>
          <w:lang w:val="kk-KZ"/>
        </w:rPr>
      </w:pPr>
    </w:p>
    <w:p w:rsidR="00FA713E" w:rsidRPr="00AC7E72" w:rsidRDefault="00FA713E" w:rsidP="00FA713E">
      <w:pPr>
        <w:jc w:val="right"/>
        <w:rPr>
          <w:sz w:val="24"/>
          <w:szCs w:val="24"/>
        </w:rPr>
      </w:pPr>
      <w:r w:rsidRPr="00AC7E72">
        <w:rPr>
          <w:sz w:val="24"/>
          <w:szCs w:val="24"/>
        </w:rPr>
        <w:t>Приложение 1</w:t>
      </w:r>
    </w:p>
    <w:p w:rsidR="00FA713E" w:rsidRPr="00AC7E72" w:rsidRDefault="00FA713E" w:rsidP="00FA713E">
      <w:pPr>
        <w:jc w:val="right"/>
        <w:rPr>
          <w:sz w:val="24"/>
          <w:szCs w:val="24"/>
        </w:rPr>
      </w:pPr>
      <w:r w:rsidRPr="00AC7E72">
        <w:rPr>
          <w:sz w:val="24"/>
          <w:szCs w:val="24"/>
        </w:rPr>
        <w:t>к Тендерной документации</w:t>
      </w:r>
    </w:p>
    <w:p w:rsidR="00FA713E" w:rsidRPr="00AC7E72" w:rsidRDefault="00FA713E" w:rsidP="00FA713E">
      <w:pPr>
        <w:spacing w:before="100" w:beforeAutospacing="1" w:after="100" w:afterAutospacing="1"/>
        <w:jc w:val="center"/>
        <w:rPr>
          <w:b/>
          <w:sz w:val="24"/>
          <w:szCs w:val="24"/>
        </w:rPr>
      </w:pPr>
      <w:r w:rsidRPr="00AC7E72">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820"/>
        <w:gridCol w:w="851"/>
        <w:gridCol w:w="709"/>
        <w:gridCol w:w="1134"/>
        <w:gridCol w:w="1559"/>
        <w:gridCol w:w="1843"/>
        <w:gridCol w:w="850"/>
        <w:gridCol w:w="1777"/>
      </w:tblGrid>
      <w:tr w:rsidR="00FA713E" w:rsidRPr="00AC7E72" w:rsidTr="003A13C9">
        <w:trPr>
          <w:trHeight w:val="1633"/>
        </w:trPr>
        <w:tc>
          <w:tcPr>
            <w:tcW w:w="68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 лота</w:t>
            </w:r>
          </w:p>
        </w:tc>
        <w:tc>
          <w:tcPr>
            <w:tcW w:w="1559" w:type="dxa"/>
            <w:vAlign w:val="center"/>
          </w:tcPr>
          <w:p w:rsidR="00FA713E" w:rsidRPr="00AC7E72" w:rsidRDefault="00FA713E" w:rsidP="00FA713E">
            <w:pPr>
              <w:ind w:left="34"/>
              <w:jc w:val="center"/>
              <w:rPr>
                <w:b/>
                <w:sz w:val="24"/>
                <w:szCs w:val="24"/>
              </w:rPr>
            </w:pPr>
            <w:r w:rsidRPr="00AC7E72">
              <w:rPr>
                <w:b/>
                <w:sz w:val="24"/>
                <w:szCs w:val="24"/>
              </w:rPr>
              <w:t>Наименование</w:t>
            </w:r>
          </w:p>
          <w:p w:rsidR="00FA713E" w:rsidRPr="00AC7E72" w:rsidRDefault="00FA713E" w:rsidP="00FA713E">
            <w:pPr>
              <w:ind w:left="34"/>
              <w:jc w:val="center"/>
              <w:rPr>
                <w:b/>
                <w:sz w:val="24"/>
                <w:szCs w:val="24"/>
              </w:rPr>
            </w:pPr>
            <w:r w:rsidRPr="00AC7E72">
              <w:rPr>
                <w:b/>
                <w:sz w:val="24"/>
                <w:szCs w:val="24"/>
              </w:rPr>
              <w:t>Заказчика</w:t>
            </w:r>
          </w:p>
        </w:tc>
        <w:tc>
          <w:tcPr>
            <w:tcW w:w="4820"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Наименование товара*</w:t>
            </w:r>
          </w:p>
        </w:tc>
        <w:tc>
          <w:tcPr>
            <w:tcW w:w="85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Ед. изм.</w:t>
            </w:r>
          </w:p>
        </w:tc>
        <w:tc>
          <w:tcPr>
            <w:tcW w:w="70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Кол-во</w:t>
            </w:r>
          </w:p>
        </w:tc>
        <w:tc>
          <w:tcPr>
            <w:tcW w:w="1134" w:type="dxa"/>
            <w:vAlign w:val="center"/>
          </w:tcPr>
          <w:p w:rsidR="00FA713E" w:rsidRPr="00AC7E72" w:rsidRDefault="00FA713E" w:rsidP="00FA713E">
            <w:pPr>
              <w:spacing w:before="100" w:beforeAutospacing="1" w:after="100" w:afterAutospacing="1"/>
              <w:ind w:left="-109" w:right="-107"/>
              <w:jc w:val="center"/>
              <w:rPr>
                <w:b/>
                <w:sz w:val="24"/>
                <w:szCs w:val="24"/>
              </w:rPr>
            </w:pPr>
            <w:r w:rsidRPr="00AC7E72">
              <w:rPr>
                <w:b/>
                <w:sz w:val="24"/>
                <w:szCs w:val="24"/>
              </w:rPr>
              <w:t xml:space="preserve">Условия поставки (в соответствии с </w:t>
            </w:r>
            <w:proofErr w:type="spellStart"/>
            <w:r w:rsidRPr="00AC7E72">
              <w:rPr>
                <w:b/>
                <w:sz w:val="24"/>
                <w:szCs w:val="24"/>
              </w:rPr>
              <w:t>Инкотермс</w:t>
            </w:r>
            <w:proofErr w:type="spellEnd"/>
            <w:r w:rsidRPr="00AC7E72">
              <w:rPr>
                <w:b/>
                <w:sz w:val="24"/>
                <w:szCs w:val="24"/>
              </w:rPr>
              <w:t xml:space="preserve"> 2010)</w:t>
            </w:r>
          </w:p>
        </w:tc>
        <w:tc>
          <w:tcPr>
            <w:tcW w:w="155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Срок поставки товара</w:t>
            </w:r>
          </w:p>
        </w:tc>
        <w:tc>
          <w:tcPr>
            <w:tcW w:w="1843"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Место поставки товара</w:t>
            </w:r>
          </w:p>
        </w:tc>
        <w:tc>
          <w:tcPr>
            <w:tcW w:w="850" w:type="dxa"/>
            <w:vAlign w:val="center"/>
          </w:tcPr>
          <w:p w:rsidR="00FA713E" w:rsidRPr="00AC7E72" w:rsidRDefault="00FA713E" w:rsidP="00FA713E">
            <w:pPr>
              <w:spacing w:before="100" w:beforeAutospacing="1" w:after="100" w:afterAutospacing="1"/>
              <w:ind w:left="-109" w:right="-108"/>
              <w:jc w:val="center"/>
              <w:rPr>
                <w:b/>
                <w:sz w:val="24"/>
                <w:szCs w:val="24"/>
              </w:rPr>
            </w:pPr>
            <w:r w:rsidRPr="00AC7E72">
              <w:rPr>
                <w:b/>
                <w:sz w:val="24"/>
                <w:szCs w:val="24"/>
              </w:rPr>
              <w:t xml:space="preserve">Размер авансового платежа, </w:t>
            </w:r>
            <w:proofErr w:type="gramStart"/>
            <w:r w:rsidRPr="00AC7E72">
              <w:rPr>
                <w:b/>
                <w:sz w:val="24"/>
                <w:szCs w:val="24"/>
              </w:rPr>
              <w:t>в</w:t>
            </w:r>
            <w:proofErr w:type="gramEnd"/>
            <w:r w:rsidRPr="00AC7E72">
              <w:rPr>
                <w:b/>
                <w:sz w:val="24"/>
                <w:szCs w:val="24"/>
              </w:rPr>
              <w:t xml:space="preserve"> %</w:t>
            </w:r>
          </w:p>
        </w:tc>
        <w:tc>
          <w:tcPr>
            <w:tcW w:w="1777" w:type="dxa"/>
            <w:vAlign w:val="center"/>
          </w:tcPr>
          <w:p w:rsidR="00FA713E" w:rsidRPr="00AC7E72" w:rsidRDefault="00FA713E" w:rsidP="00FA713E">
            <w:pPr>
              <w:spacing w:before="100" w:beforeAutospacing="1" w:after="100" w:afterAutospacing="1"/>
              <w:ind w:left="34"/>
              <w:jc w:val="center"/>
              <w:rPr>
                <w:b/>
                <w:sz w:val="24"/>
                <w:szCs w:val="24"/>
              </w:rPr>
            </w:pPr>
            <w:proofErr w:type="gramStart"/>
            <w:r w:rsidRPr="00AC7E72">
              <w:rPr>
                <w:b/>
                <w:sz w:val="24"/>
                <w:szCs w:val="24"/>
              </w:rPr>
              <w:t>Сумма</w:t>
            </w:r>
            <w:proofErr w:type="gramEnd"/>
            <w:r w:rsidRPr="00AC7E72">
              <w:rPr>
                <w:b/>
                <w:sz w:val="24"/>
                <w:szCs w:val="24"/>
              </w:rPr>
              <w:t xml:space="preserve"> выделенная для закупа</w:t>
            </w:r>
          </w:p>
        </w:tc>
      </w:tr>
      <w:tr w:rsidR="00AA16FC" w:rsidRPr="00AC7E72" w:rsidTr="00573D8A">
        <w:tc>
          <w:tcPr>
            <w:tcW w:w="681" w:type="dxa"/>
            <w:vAlign w:val="center"/>
          </w:tcPr>
          <w:p w:rsidR="00AA16FC" w:rsidRPr="00AC7E72" w:rsidRDefault="00AA16FC" w:rsidP="00FA713E">
            <w:pPr>
              <w:spacing w:before="100" w:beforeAutospacing="1" w:after="100" w:afterAutospacing="1"/>
              <w:ind w:left="34"/>
              <w:jc w:val="center"/>
              <w:rPr>
                <w:sz w:val="24"/>
                <w:szCs w:val="24"/>
              </w:rPr>
            </w:pPr>
            <w:r w:rsidRPr="00AC7E72">
              <w:rPr>
                <w:sz w:val="24"/>
                <w:szCs w:val="24"/>
              </w:rPr>
              <w:t>1</w:t>
            </w:r>
          </w:p>
        </w:tc>
        <w:tc>
          <w:tcPr>
            <w:tcW w:w="1559" w:type="dxa"/>
            <w:vMerge w:val="restart"/>
            <w:vAlign w:val="center"/>
          </w:tcPr>
          <w:p w:rsidR="00AA16FC" w:rsidRPr="00AC7E72" w:rsidRDefault="00AA16FC" w:rsidP="00FA713E">
            <w:pPr>
              <w:spacing w:before="100" w:beforeAutospacing="1" w:after="100" w:afterAutospacing="1"/>
              <w:ind w:left="-137" w:right="-108"/>
              <w:jc w:val="center"/>
              <w:rPr>
                <w:sz w:val="24"/>
                <w:szCs w:val="24"/>
              </w:rPr>
            </w:pPr>
            <w:r w:rsidRPr="00AC7E72">
              <w:rPr>
                <w:sz w:val="24"/>
                <w:szCs w:val="24"/>
              </w:rPr>
              <w:t xml:space="preserve">НАО "Казахский национальный медицинский университет имени С. Д. </w:t>
            </w:r>
            <w:proofErr w:type="spellStart"/>
            <w:r w:rsidRPr="00AC7E72">
              <w:rPr>
                <w:sz w:val="24"/>
                <w:szCs w:val="24"/>
              </w:rPr>
              <w:t>Асфендиярова</w:t>
            </w:r>
            <w:proofErr w:type="spellEnd"/>
            <w:r w:rsidRPr="00AC7E72">
              <w:rPr>
                <w:sz w:val="24"/>
                <w:szCs w:val="24"/>
              </w:rPr>
              <w:t>"</w:t>
            </w:r>
          </w:p>
        </w:tc>
        <w:tc>
          <w:tcPr>
            <w:tcW w:w="4820" w:type="dxa"/>
            <w:vAlign w:val="center"/>
          </w:tcPr>
          <w:p w:rsidR="00AA16FC" w:rsidRPr="00E84658" w:rsidRDefault="00AA16FC" w:rsidP="00AA16FC">
            <w:pPr>
              <w:jc w:val="center"/>
              <w:rPr>
                <w:sz w:val="24"/>
                <w:szCs w:val="24"/>
              </w:rPr>
            </w:pPr>
            <w:r w:rsidRPr="00E84658">
              <w:rPr>
                <w:sz w:val="24"/>
                <w:szCs w:val="24"/>
              </w:rPr>
              <w:t>ELAN 4 электрическая. Наконечник стандартный 1-кольцевой L4.</w:t>
            </w:r>
          </w:p>
        </w:tc>
        <w:tc>
          <w:tcPr>
            <w:tcW w:w="851" w:type="dxa"/>
            <w:vAlign w:val="center"/>
          </w:tcPr>
          <w:p w:rsidR="00AA16FC" w:rsidRPr="00E84658" w:rsidRDefault="00AA16FC" w:rsidP="00AA16FC">
            <w:pPr>
              <w:jc w:val="center"/>
              <w:rPr>
                <w:color w:val="000000"/>
                <w:sz w:val="24"/>
                <w:szCs w:val="24"/>
              </w:rPr>
            </w:pPr>
            <w:r w:rsidRPr="00E84658">
              <w:rPr>
                <w:color w:val="000000"/>
                <w:sz w:val="24"/>
                <w:szCs w:val="24"/>
              </w:rPr>
              <w:t>штука</w:t>
            </w:r>
          </w:p>
        </w:tc>
        <w:tc>
          <w:tcPr>
            <w:tcW w:w="709" w:type="dxa"/>
            <w:vAlign w:val="center"/>
          </w:tcPr>
          <w:p w:rsidR="00AA16FC" w:rsidRPr="00E84658" w:rsidRDefault="00AA16FC" w:rsidP="00AA16FC">
            <w:pPr>
              <w:jc w:val="center"/>
              <w:rPr>
                <w:color w:val="000000"/>
                <w:sz w:val="24"/>
                <w:szCs w:val="24"/>
              </w:rPr>
            </w:pPr>
            <w:r w:rsidRPr="00E84658">
              <w:rPr>
                <w:color w:val="000000"/>
                <w:sz w:val="24"/>
                <w:szCs w:val="24"/>
              </w:rPr>
              <w:t>1</w:t>
            </w:r>
          </w:p>
        </w:tc>
        <w:tc>
          <w:tcPr>
            <w:tcW w:w="1134" w:type="dxa"/>
            <w:vAlign w:val="center"/>
          </w:tcPr>
          <w:p w:rsidR="00AA16FC" w:rsidRPr="00AC7E72" w:rsidRDefault="00AA16FC" w:rsidP="00FA713E">
            <w:pPr>
              <w:ind w:left="34"/>
              <w:jc w:val="center"/>
              <w:rPr>
                <w:sz w:val="24"/>
                <w:szCs w:val="24"/>
              </w:rPr>
            </w:pPr>
            <w:r w:rsidRPr="00AC7E72">
              <w:rPr>
                <w:sz w:val="24"/>
                <w:szCs w:val="24"/>
                <w:lang w:val="en-US"/>
              </w:rPr>
              <w:t>DDP</w:t>
            </w:r>
          </w:p>
          <w:p w:rsidR="00AA16FC" w:rsidRPr="00AC7E72" w:rsidRDefault="00AA16FC" w:rsidP="00FA713E">
            <w:pPr>
              <w:ind w:left="34"/>
              <w:jc w:val="center"/>
              <w:rPr>
                <w:sz w:val="24"/>
                <w:szCs w:val="24"/>
              </w:rPr>
            </w:pPr>
            <w:r w:rsidRPr="00AC7E72">
              <w:rPr>
                <w:sz w:val="24"/>
                <w:szCs w:val="24"/>
              </w:rPr>
              <w:t>пункт назначения</w:t>
            </w:r>
          </w:p>
        </w:tc>
        <w:tc>
          <w:tcPr>
            <w:tcW w:w="1559" w:type="dxa"/>
            <w:vAlign w:val="center"/>
          </w:tcPr>
          <w:p w:rsidR="00AA16FC" w:rsidRPr="00AC7E72" w:rsidRDefault="00AA16FC"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AA16FC" w:rsidRPr="00AC7E72" w:rsidRDefault="00AA16FC"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AA16FC" w:rsidRPr="00AC7E72" w:rsidRDefault="00AA16FC" w:rsidP="00FA713E">
            <w:pPr>
              <w:spacing w:before="100" w:beforeAutospacing="1" w:after="100" w:afterAutospacing="1"/>
              <w:ind w:left="34"/>
              <w:jc w:val="center"/>
              <w:rPr>
                <w:sz w:val="24"/>
                <w:szCs w:val="24"/>
              </w:rPr>
            </w:pPr>
            <w:r w:rsidRPr="00AC7E72">
              <w:rPr>
                <w:sz w:val="24"/>
                <w:szCs w:val="24"/>
              </w:rPr>
              <w:t>0%</w:t>
            </w:r>
          </w:p>
        </w:tc>
        <w:tc>
          <w:tcPr>
            <w:tcW w:w="1777" w:type="dxa"/>
            <w:vAlign w:val="center"/>
          </w:tcPr>
          <w:p w:rsidR="00AA16FC" w:rsidRPr="00E84658" w:rsidRDefault="00AA16FC" w:rsidP="00AA16FC">
            <w:pPr>
              <w:jc w:val="center"/>
              <w:rPr>
                <w:color w:val="000000"/>
                <w:sz w:val="24"/>
                <w:szCs w:val="24"/>
              </w:rPr>
            </w:pPr>
            <w:r w:rsidRPr="00E84658">
              <w:rPr>
                <w:color w:val="000000"/>
                <w:sz w:val="24"/>
                <w:szCs w:val="24"/>
              </w:rPr>
              <w:t>3 720 990,00</w:t>
            </w:r>
          </w:p>
        </w:tc>
      </w:tr>
      <w:tr w:rsidR="00AA16FC" w:rsidRPr="00AC7E72" w:rsidTr="00573D8A">
        <w:trPr>
          <w:trHeight w:val="2330"/>
        </w:trPr>
        <w:tc>
          <w:tcPr>
            <w:tcW w:w="681" w:type="dxa"/>
            <w:vAlign w:val="center"/>
          </w:tcPr>
          <w:p w:rsidR="00AA16FC" w:rsidRPr="00AC7E72" w:rsidRDefault="00AA16FC" w:rsidP="00FA713E">
            <w:pPr>
              <w:spacing w:before="100" w:beforeAutospacing="1" w:after="100" w:afterAutospacing="1"/>
              <w:ind w:left="34"/>
              <w:jc w:val="center"/>
              <w:rPr>
                <w:sz w:val="24"/>
                <w:szCs w:val="24"/>
              </w:rPr>
            </w:pPr>
            <w:r w:rsidRPr="00AC7E72">
              <w:rPr>
                <w:sz w:val="24"/>
                <w:szCs w:val="24"/>
              </w:rPr>
              <w:t>2</w:t>
            </w:r>
          </w:p>
        </w:tc>
        <w:tc>
          <w:tcPr>
            <w:tcW w:w="1559" w:type="dxa"/>
            <w:vMerge/>
            <w:vAlign w:val="center"/>
          </w:tcPr>
          <w:p w:rsidR="00AA16FC" w:rsidRPr="00AC7E72" w:rsidRDefault="00AA16FC" w:rsidP="00FA713E">
            <w:pPr>
              <w:suppressAutoHyphens/>
              <w:ind w:left="-137" w:right="-108"/>
              <w:jc w:val="center"/>
              <w:rPr>
                <w:sz w:val="24"/>
                <w:szCs w:val="24"/>
              </w:rPr>
            </w:pPr>
          </w:p>
        </w:tc>
        <w:tc>
          <w:tcPr>
            <w:tcW w:w="4820" w:type="dxa"/>
            <w:shd w:val="clear" w:color="auto" w:fill="auto"/>
            <w:vAlign w:val="center"/>
          </w:tcPr>
          <w:p w:rsidR="00AA16FC" w:rsidRPr="00E84658" w:rsidRDefault="00AA16FC" w:rsidP="00AA16FC">
            <w:pPr>
              <w:jc w:val="center"/>
              <w:rPr>
                <w:color w:val="000000"/>
                <w:sz w:val="24"/>
                <w:szCs w:val="24"/>
              </w:rPr>
            </w:pPr>
            <w:r w:rsidRPr="00E84658">
              <w:rPr>
                <w:color w:val="000000"/>
                <w:sz w:val="24"/>
                <w:szCs w:val="24"/>
              </w:rPr>
              <w:t>ELAN 4 электрическая. Наконечник стандартный 1-кольцевой L7.</w:t>
            </w:r>
          </w:p>
        </w:tc>
        <w:tc>
          <w:tcPr>
            <w:tcW w:w="851" w:type="dxa"/>
            <w:shd w:val="clear" w:color="auto" w:fill="auto"/>
            <w:vAlign w:val="center"/>
          </w:tcPr>
          <w:p w:rsidR="00AA16FC" w:rsidRPr="00E84658" w:rsidRDefault="00AA16FC" w:rsidP="00AA16FC">
            <w:pPr>
              <w:jc w:val="center"/>
              <w:rPr>
                <w:color w:val="000000"/>
                <w:sz w:val="24"/>
                <w:szCs w:val="24"/>
              </w:rPr>
            </w:pPr>
            <w:r w:rsidRPr="00E84658">
              <w:rPr>
                <w:color w:val="000000"/>
                <w:sz w:val="24"/>
                <w:szCs w:val="24"/>
              </w:rPr>
              <w:t>штука</w:t>
            </w:r>
          </w:p>
        </w:tc>
        <w:tc>
          <w:tcPr>
            <w:tcW w:w="709" w:type="dxa"/>
            <w:shd w:val="clear" w:color="auto" w:fill="auto"/>
            <w:vAlign w:val="center"/>
          </w:tcPr>
          <w:p w:rsidR="00AA16FC" w:rsidRPr="00E84658" w:rsidRDefault="00AA16FC" w:rsidP="00AA16FC">
            <w:pPr>
              <w:jc w:val="center"/>
              <w:rPr>
                <w:color w:val="000000"/>
                <w:sz w:val="24"/>
                <w:szCs w:val="24"/>
              </w:rPr>
            </w:pPr>
            <w:r w:rsidRPr="00E84658">
              <w:rPr>
                <w:color w:val="000000"/>
                <w:sz w:val="24"/>
                <w:szCs w:val="24"/>
              </w:rPr>
              <w:t>1</w:t>
            </w:r>
          </w:p>
        </w:tc>
        <w:tc>
          <w:tcPr>
            <w:tcW w:w="1134" w:type="dxa"/>
            <w:vAlign w:val="center"/>
          </w:tcPr>
          <w:p w:rsidR="00AA16FC" w:rsidRPr="00AC7E72" w:rsidRDefault="00AA16FC" w:rsidP="00FA713E">
            <w:pPr>
              <w:ind w:left="34"/>
              <w:jc w:val="center"/>
              <w:rPr>
                <w:sz w:val="24"/>
                <w:szCs w:val="24"/>
              </w:rPr>
            </w:pPr>
            <w:r w:rsidRPr="00AC7E72">
              <w:rPr>
                <w:sz w:val="24"/>
                <w:szCs w:val="24"/>
                <w:lang w:val="en-US"/>
              </w:rPr>
              <w:t>DDP</w:t>
            </w:r>
          </w:p>
          <w:p w:rsidR="00AA16FC" w:rsidRPr="00AC7E72" w:rsidRDefault="00AA16FC" w:rsidP="00FA713E">
            <w:pPr>
              <w:ind w:left="34"/>
              <w:jc w:val="center"/>
              <w:rPr>
                <w:sz w:val="24"/>
                <w:szCs w:val="24"/>
              </w:rPr>
            </w:pPr>
            <w:r w:rsidRPr="00AC7E72">
              <w:rPr>
                <w:sz w:val="24"/>
                <w:szCs w:val="24"/>
              </w:rPr>
              <w:t>пункт назначения</w:t>
            </w:r>
          </w:p>
        </w:tc>
        <w:tc>
          <w:tcPr>
            <w:tcW w:w="1559" w:type="dxa"/>
            <w:vAlign w:val="center"/>
          </w:tcPr>
          <w:p w:rsidR="00AA16FC" w:rsidRPr="00AC7E72" w:rsidRDefault="00AA16FC"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AA16FC" w:rsidRPr="00AC7E72" w:rsidRDefault="00AA16FC"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AA16FC" w:rsidRPr="00AC7E72" w:rsidRDefault="00AA16FC" w:rsidP="00FA713E">
            <w:pPr>
              <w:suppressAutoHyphens/>
              <w:jc w:val="center"/>
              <w:rPr>
                <w:sz w:val="24"/>
                <w:szCs w:val="24"/>
              </w:rPr>
            </w:pPr>
            <w:r w:rsidRPr="00AC7E72">
              <w:rPr>
                <w:sz w:val="24"/>
                <w:szCs w:val="24"/>
              </w:rPr>
              <w:t>0%</w:t>
            </w:r>
          </w:p>
        </w:tc>
        <w:tc>
          <w:tcPr>
            <w:tcW w:w="1777" w:type="dxa"/>
            <w:shd w:val="clear" w:color="auto" w:fill="auto"/>
            <w:vAlign w:val="center"/>
          </w:tcPr>
          <w:p w:rsidR="00AA16FC" w:rsidRPr="00E84658" w:rsidRDefault="00AA16FC" w:rsidP="00AA16FC">
            <w:pPr>
              <w:jc w:val="center"/>
              <w:rPr>
                <w:color w:val="000000"/>
                <w:sz w:val="24"/>
                <w:szCs w:val="24"/>
              </w:rPr>
            </w:pPr>
            <w:r w:rsidRPr="00E84658">
              <w:rPr>
                <w:color w:val="000000"/>
                <w:sz w:val="24"/>
                <w:szCs w:val="24"/>
              </w:rPr>
              <w:t>4 000 000,00</w:t>
            </w:r>
          </w:p>
        </w:tc>
      </w:tr>
    </w:tbl>
    <w:p w:rsidR="00F80267" w:rsidRPr="00AC7E72" w:rsidRDefault="00FA713E" w:rsidP="00BE735E">
      <w:pPr>
        <w:ind w:firstLine="720"/>
        <w:jc w:val="both"/>
        <w:rPr>
          <w:sz w:val="24"/>
          <w:szCs w:val="24"/>
        </w:rPr>
      </w:pPr>
      <w:r w:rsidRPr="00AC7E72">
        <w:rPr>
          <w:sz w:val="24"/>
          <w:szCs w:val="24"/>
        </w:rPr>
        <w:t>*Полное описание товаров указывается в технической спецификации</w:t>
      </w:r>
    </w:p>
    <w:p w:rsidR="00517D5E" w:rsidRDefault="00517D5E" w:rsidP="00BE735E">
      <w:pPr>
        <w:ind w:firstLine="720"/>
        <w:jc w:val="both"/>
        <w:rPr>
          <w:sz w:val="24"/>
          <w:szCs w:val="24"/>
        </w:rPr>
      </w:pPr>
    </w:p>
    <w:p w:rsidR="00BD3779" w:rsidRDefault="00BD3779" w:rsidP="00BE735E">
      <w:pPr>
        <w:ind w:firstLine="720"/>
        <w:jc w:val="both"/>
        <w:rPr>
          <w:sz w:val="24"/>
          <w:szCs w:val="24"/>
        </w:rPr>
      </w:pPr>
    </w:p>
    <w:p w:rsidR="00BD3779" w:rsidRDefault="00BD3779" w:rsidP="00BE735E">
      <w:pPr>
        <w:ind w:firstLine="720"/>
        <w:jc w:val="both"/>
        <w:rPr>
          <w:sz w:val="24"/>
          <w:szCs w:val="24"/>
        </w:rPr>
      </w:pPr>
    </w:p>
    <w:p w:rsidR="000C5639" w:rsidRDefault="000C5639" w:rsidP="00BE735E">
      <w:pPr>
        <w:ind w:firstLine="720"/>
        <w:jc w:val="both"/>
        <w:rPr>
          <w:sz w:val="24"/>
          <w:szCs w:val="24"/>
        </w:rPr>
      </w:pPr>
    </w:p>
    <w:p w:rsidR="000C5639" w:rsidRDefault="000C5639" w:rsidP="00BE735E">
      <w:pPr>
        <w:ind w:firstLine="720"/>
        <w:jc w:val="both"/>
        <w:rPr>
          <w:sz w:val="24"/>
          <w:szCs w:val="24"/>
        </w:rPr>
      </w:pPr>
    </w:p>
    <w:p w:rsidR="00BD3779" w:rsidRPr="00BD3779" w:rsidRDefault="00BD3779" w:rsidP="00BD3779">
      <w:pPr>
        <w:jc w:val="right"/>
      </w:pPr>
    </w:p>
    <w:p w:rsidR="00BD3779" w:rsidRPr="00BD3779" w:rsidRDefault="00BD3779" w:rsidP="00BD3779">
      <w:pPr>
        <w:suppressAutoHyphens/>
        <w:jc w:val="right"/>
        <w:rPr>
          <w:sz w:val="24"/>
          <w:szCs w:val="24"/>
        </w:rPr>
      </w:pPr>
      <w:r w:rsidRPr="00BD3779">
        <w:rPr>
          <w:sz w:val="24"/>
          <w:szCs w:val="24"/>
        </w:rPr>
        <w:lastRenderedPageBreak/>
        <w:t>Приложение 2</w:t>
      </w:r>
    </w:p>
    <w:p w:rsidR="00BD3779" w:rsidRPr="00BD3779" w:rsidRDefault="00BD3779" w:rsidP="00BD3779">
      <w:pPr>
        <w:suppressAutoHyphens/>
        <w:jc w:val="right"/>
        <w:rPr>
          <w:sz w:val="24"/>
          <w:szCs w:val="24"/>
        </w:rPr>
      </w:pPr>
      <w:r w:rsidRPr="00BD3779">
        <w:rPr>
          <w:sz w:val="24"/>
          <w:szCs w:val="24"/>
        </w:rPr>
        <w:t>к Тендерной документации</w:t>
      </w:r>
    </w:p>
    <w:p w:rsidR="00BD3779" w:rsidRPr="00BD3779" w:rsidRDefault="00BD3779" w:rsidP="00BD3779">
      <w:pPr>
        <w:suppressAutoHyphens/>
        <w:ind w:left="-900"/>
        <w:jc w:val="center"/>
        <w:rPr>
          <w:b/>
          <w:sz w:val="24"/>
          <w:szCs w:val="24"/>
        </w:rPr>
      </w:pPr>
    </w:p>
    <w:p w:rsidR="00BD3779" w:rsidRPr="00BD3779" w:rsidRDefault="00BD3779" w:rsidP="00BD3779">
      <w:pPr>
        <w:suppressAutoHyphens/>
        <w:jc w:val="center"/>
        <w:rPr>
          <w:b/>
          <w:sz w:val="24"/>
          <w:szCs w:val="24"/>
        </w:rPr>
      </w:pPr>
      <w:r w:rsidRPr="00BD3779">
        <w:rPr>
          <w:b/>
          <w:sz w:val="24"/>
          <w:szCs w:val="24"/>
        </w:rPr>
        <w:t>ТЕХНИЧЕСКАЯ СПЕЦИФИКАЦИЯ</w:t>
      </w:r>
    </w:p>
    <w:p w:rsidR="00BD3779" w:rsidRPr="00BD3779"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BD3779" w:rsidRPr="00BD3779" w:rsidTr="00BD3779">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BD3779" w:rsidRDefault="00BD3779" w:rsidP="00BD3779">
            <w:pPr>
              <w:suppressAutoHyphens/>
              <w:rPr>
                <w:sz w:val="24"/>
                <w:szCs w:val="24"/>
              </w:rPr>
            </w:pPr>
          </w:p>
          <w:p w:rsidR="00BD3779" w:rsidRPr="00BD3779" w:rsidRDefault="00BD3779" w:rsidP="00BD3779">
            <w:pPr>
              <w:suppressAutoHyphens/>
              <w:rPr>
                <w:sz w:val="24"/>
                <w:szCs w:val="24"/>
              </w:rPr>
            </w:pPr>
            <w:r w:rsidRPr="00BD3779">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b/>
                <w:sz w:val="24"/>
                <w:szCs w:val="24"/>
              </w:rPr>
            </w:pPr>
            <w:r w:rsidRPr="00BD3779">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BD3779" w:rsidRPr="00BD3779" w:rsidRDefault="00BD3779" w:rsidP="00BD3779">
            <w:pPr>
              <w:suppressAutoHyphens/>
              <w:rPr>
                <w:b/>
                <w:sz w:val="24"/>
                <w:szCs w:val="24"/>
              </w:rPr>
            </w:pPr>
            <w:r w:rsidRPr="00BD3779">
              <w:rPr>
                <w:b/>
                <w:sz w:val="24"/>
                <w:szCs w:val="24"/>
              </w:rPr>
              <w:t>Техническая спецификация</w:t>
            </w:r>
          </w:p>
        </w:tc>
      </w:tr>
      <w:tr w:rsidR="008A5B31" w:rsidRPr="00BD3779" w:rsidTr="008A5B31">
        <w:trPr>
          <w:trHeight w:val="2669"/>
        </w:trPr>
        <w:tc>
          <w:tcPr>
            <w:tcW w:w="653" w:type="dxa"/>
            <w:tcBorders>
              <w:top w:val="single" w:sz="4" w:space="0" w:color="auto"/>
              <w:left w:val="single" w:sz="4" w:space="0" w:color="auto"/>
              <w:bottom w:val="single" w:sz="4" w:space="0" w:color="auto"/>
              <w:right w:val="single" w:sz="4" w:space="0" w:color="auto"/>
            </w:tcBorders>
            <w:vAlign w:val="center"/>
            <w:hideMark/>
          </w:tcPr>
          <w:p w:rsidR="008A5B31" w:rsidRPr="00BD3779" w:rsidRDefault="008A5B31" w:rsidP="00BD3779">
            <w:pPr>
              <w:suppressAutoHyphens/>
              <w:rPr>
                <w:sz w:val="24"/>
                <w:szCs w:val="24"/>
              </w:rPr>
            </w:pPr>
            <w:r w:rsidRPr="00BD3779">
              <w:rPr>
                <w:sz w:val="24"/>
                <w:szCs w:val="24"/>
              </w:rPr>
              <w:t>1</w:t>
            </w:r>
          </w:p>
        </w:tc>
        <w:tc>
          <w:tcPr>
            <w:tcW w:w="2552" w:type="dxa"/>
            <w:tcBorders>
              <w:left w:val="single" w:sz="4" w:space="0" w:color="auto"/>
            </w:tcBorders>
            <w:vAlign w:val="center"/>
          </w:tcPr>
          <w:p w:rsidR="008A5B31" w:rsidRPr="00FE5F01" w:rsidRDefault="008A5B31" w:rsidP="008A5B31">
            <w:pPr>
              <w:jc w:val="center"/>
              <w:rPr>
                <w:color w:val="000000"/>
              </w:rPr>
            </w:pPr>
            <w:r w:rsidRPr="00FE5F01">
              <w:rPr>
                <w:color w:val="000000"/>
              </w:rPr>
              <w:t>ELAN 4 электрическая. Наконечник стандартный 1-кольцевой L4.</w:t>
            </w:r>
          </w:p>
        </w:tc>
        <w:tc>
          <w:tcPr>
            <w:tcW w:w="12332" w:type="dxa"/>
            <w:vAlign w:val="center"/>
          </w:tcPr>
          <w:p w:rsidR="008A5B31" w:rsidRPr="00FE5F01" w:rsidRDefault="008A5B31" w:rsidP="008A5B31">
            <w:pPr>
              <w:jc w:val="center"/>
              <w:rPr>
                <w:color w:val="000000"/>
              </w:rPr>
            </w:pPr>
            <w:r w:rsidRPr="00FE5F01">
              <w:rPr>
                <w:color w:val="000000"/>
              </w:rPr>
              <w:t xml:space="preserve">ELAN 4 электрическая. Наконечник стандартный 1-кольцевой L4. Ручной высокоскоростной наконечник является принадлежностью моторной системы ELAN 4 электрический. Наконечник подсоединяется с помощью моторного кабеля ELAN 4 электрический к блоку управления. Наконечник используется для привода (1- кольцевых) рабочих инструментов ELAN 4 электрический. </w:t>
            </w:r>
            <w:proofErr w:type="spellStart"/>
            <w:r w:rsidRPr="00FE5F01">
              <w:rPr>
                <w:color w:val="000000"/>
              </w:rPr>
              <w:t>Макс</w:t>
            </w:r>
            <w:proofErr w:type="gramStart"/>
            <w:r w:rsidRPr="00FE5F01">
              <w:rPr>
                <w:color w:val="000000"/>
              </w:rPr>
              <w:t>.м</w:t>
            </w:r>
            <w:proofErr w:type="gramEnd"/>
            <w:r w:rsidRPr="00FE5F01">
              <w:rPr>
                <w:color w:val="000000"/>
              </w:rPr>
              <w:t>ощность</w:t>
            </w:r>
            <w:proofErr w:type="spellEnd"/>
            <w:r w:rsidRPr="00FE5F01">
              <w:rPr>
                <w:color w:val="000000"/>
              </w:rPr>
              <w:t xml:space="preserve"> прим. 140 Вт. Макс. крутящий момент при. 2,2 </w:t>
            </w:r>
            <w:proofErr w:type="spellStart"/>
            <w:r w:rsidRPr="00FE5F01">
              <w:rPr>
                <w:color w:val="000000"/>
              </w:rPr>
              <w:t>Нсм</w:t>
            </w:r>
            <w:proofErr w:type="spellEnd"/>
            <w:r w:rsidRPr="00FE5F01">
              <w:rPr>
                <w:color w:val="000000"/>
              </w:rPr>
              <w:t xml:space="preserve">. Число оборотов мин. 0 мин.-1 – макс. 80 000 мин.-1. Величина </w:t>
            </w:r>
            <w:proofErr w:type="gramStart"/>
            <w:r w:rsidRPr="00FE5F01">
              <w:rPr>
                <w:color w:val="000000"/>
              </w:rPr>
              <w:t>шага верхней границы диапазона числа оборотов</w:t>
            </w:r>
            <w:proofErr w:type="gramEnd"/>
            <w:r w:rsidRPr="00FE5F01">
              <w:rPr>
                <w:color w:val="000000"/>
              </w:rPr>
              <w:t xml:space="preserve"> 5 000 мин.-1. </w:t>
            </w:r>
            <w:proofErr w:type="gramStart"/>
            <w:r w:rsidRPr="00FE5F01">
              <w:rPr>
                <w:color w:val="000000"/>
              </w:rPr>
              <w:t>Заводская</w:t>
            </w:r>
            <w:proofErr w:type="gramEnd"/>
            <w:r w:rsidRPr="00FE5F01">
              <w:rPr>
                <w:color w:val="000000"/>
              </w:rPr>
              <w:t xml:space="preserve"> </w:t>
            </w:r>
            <w:proofErr w:type="spellStart"/>
            <w:r w:rsidRPr="00FE5F01">
              <w:rPr>
                <w:color w:val="000000"/>
              </w:rPr>
              <w:t>уставка</w:t>
            </w:r>
            <w:proofErr w:type="spellEnd"/>
            <w:r w:rsidRPr="00FE5F01">
              <w:rPr>
                <w:color w:val="000000"/>
              </w:rPr>
              <w:t xml:space="preserve"> верхней границы диапазона числа оборотов 75 000 мин.-1, правостороннее вращение. Направление вращения: право- и левостороннее. Кратковременный интервальный режим 30 с применение, 30 </w:t>
            </w:r>
            <w:proofErr w:type="gramStart"/>
            <w:r w:rsidRPr="00FE5F01">
              <w:rPr>
                <w:color w:val="000000"/>
              </w:rPr>
              <w:t>с</w:t>
            </w:r>
            <w:proofErr w:type="gramEnd"/>
            <w:r w:rsidRPr="00FE5F01">
              <w:rPr>
                <w:color w:val="000000"/>
              </w:rPr>
              <w:t xml:space="preserve"> </w:t>
            </w:r>
            <w:proofErr w:type="gramStart"/>
            <w:r w:rsidRPr="00FE5F01">
              <w:rPr>
                <w:color w:val="000000"/>
              </w:rPr>
              <w:t>пауза</w:t>
            </w:r>
            <w:proofErr w:type="gramEnd"/>
            <w:r w:rsidRPr="00FE5F01">
              <w:rPr>
                <w:color w:val="000000"/>
              </w:rPr>
              <w:t xml:space="preserve"> при 60 000 мин.-1. Масса: 80 г ± 10 %. Размеры: 16 мм x 152 мм ± 5 %. Рабочий элемент Тип BF. ЭМС IEC/DIN EN 60601-1-2. Соответствие нормам IEC/DIN EN 60601-1.</w:t>
            </w:r>
          </w:p>
        </w:tc>
      </w:tr>
      <w:tr w:rsidR="008A5B31" w:rsidRPr="00BD3779" w:rsidTr="00BD3779">
        <w:trPr>
          <w:trHeight w:val="1842"/>
        </w:trPr>
        <w:tc>
          <w:tcPr>
            <w:tcW w:w="653" w:type="dxa"/>
            <w:tcBorders>
              <w:top w:val="single" w:sz="4" w:space="0" w:color="auto"/>
              <w:left w:val="single" w:sz="4" w:space="0" w:color="auto"/>
              <w:bottom w:val="single" w:sz="4" w:space="0" w:color="auto"/>
              <w:right w:val="single" w:sz="4" w:space="0" w:color="auto"/>
            </w:tcBorders>
            <w:vAlign w:val="center"/>
            <w:hideMark/>
          </w:tcPr>
          <w:p w:rsidR="008A5B31" w:rsidRPr="00BD3779" w:rsidRDefault="008A5B31" w:rsidP="00BD3779">
            <w:pPr>
              <w:suppressAutoHyphens/>
              <w:rPr>
                <w:sz w:val="24"/>
                <w:szCs w:val="24"/>
              </w:rPr>
            </w:pPr>
            <w:r w:rsidRPr="00BD3779">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A5B31" w:rsidRPr="00FE5F01" w:rsidRDefault="008A5B31" w:rsidP="008A5B31">
            <w:pPr>
              <w:jc w:val="center"/>
              <w:rPr>
                <w:color w:val="000000"/>
              </w:rPr>
            </w:pPr>
            <w:r w:rsidRPr="00FE5F01">
              <w:rPr>
                <w:color w:val="000000"/>
              </w:rPr>
              <w:t>ELAN 4 электрическая. Наконечник стандартный 1-кольцевой L7.</w:t>
            </w:r>
          </w:p>
        </w:tc>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8A5B31" w:rsidRPr="00FE5F01" w:rsidRDefault="008A5B31" w:rsidP="008A5B31">
            <w:pPr>
              <w:jc w:val="center"/>
              <w:rPr>
                <w:color w:val="000000"/>
              </w:rPr>
            </w:pPr>
            <w:r w:rsidRPr="00FE5F01">
              <w:rPr>
                <w:color w:val="000000"/>
              </w:rPr>
              <w:t xml:space="preserve">ELAN 4 электрическая. Наконечник стандартный 1-кольцевой L7. Ручной высокоскоростной наконечник является принадлежностью моторной системы ELAN 4 электрический. Наконечник подсоединяется с помощью моторного кабеля ELAN 4 электрический к блоку управления. Наконечник используется для привода (1- кольцевых) рабочих инструментов ELAN 4 электрический. </w:t>
            </w:r>
            <w:proofErr w:type="spellStart"/>
            <w:r w:rsidRPr="00FE5F01">
              <w:rPr>
                <w:color w:val="000000"/>
              </w:rPr>
              <w:t>Макс</w:t>
            </w:r>
            <w:proofErr w:type="gramStart"/>
            <w:r w:rsidRPr="00FE5F01">
              <w:rPr>
                <w:color w:val="000000"/>
              </w:rPr>
              <w:t>.м</w:t>
            </w:r>
            <w:proofErr w:type="gramEnd"/>
            <w:r w:rsidRPr="00FE5F01">
              <w:rPr>
                <w:color w:val="000000"/>
              </w:rPr>
              <w:t>ощность</w:t>
            </w:r>
            <w:proofErr w:type="spellEnd"/>
            <w:r w:rsidRPr="00FE5F01">
              <w:rPr>
                <w:color w:val="000000"/>
              </w:rPr>
              <w:t xml:space="preserve"> прим. 140 Вт. Макс. крутящий момент при. 2,2 </w:t>
            </w:r>
            <w:proofErr w:type="spellStart"/>
            <w:r w:rsidRPr="00FE5F01">
              <w:rPr>
                <w:color w:val="000000"/>
              </w:rPr>
              <w:t>Нсм</w:t>
            </w:r>
            <w:proofErr w:type="spellEnd"/>
            <w:r w:rsidRPr="00FE5F01">
              <w:rPr>
                <w:color w:val="000000"/>
              </w:rPr>
              <w:t xml:space="preserve">. Число оборотов мин. 0 мин.-1 – макс. 80 000 мин.-1. Величина </w:t>
            </w:r>
            <w:proofErr w:type="gramStart"/>
            <w:r w:rsidRPr="00FE5F01">
              <w:rPr>
                <w:color w:val="000000"/>
              </w:rPr>
              <w:t>шага верхней границы диапазона числа оборотов</w:t>
            </w:r>
            <w:proofErr w:type="gramEnd"/>
            <w:r w:rsidRPr="00FE5F01">
              <w:rPr>
                <w:color w:val="000000"/>
              </w:rPr>
              <w:t xml:space="preserve"> 5 000 мин.-1. </w:t>
            </w:r>
            <w:proofErr w:type="gramStart"/>
            <w:r w:rsidRPr="00FE5F01">
              <w:rPr>
                <w:color w:val="000000"/>
              </w:rPr>
              <w:t>Заводская</w:t>
            </w:r>
            <w:proofErr w:type="gramEnd"/>
            <w:r w:rsidRPr="00FE5F01">
              <w:rPr>
                <w:color w:val="000000"/>
              </w:rPr>
              <w:t xml:space="preserve"> </w:t>
            </w:r>
            <w:proofErr w:type="spellStart"/>
            <w:r w:rsidRPr="00FE5F01">
              <w:rPr>
                <w:color w:val="000000"/>
              </w:rPr>
              <w:t>уставка</w:t>
            </w:r>
            <w:proofErr w:type="spellEnd"/>
            <w:r w:rsidRPr="00FE5F01">
              <w:rPr>
                <w:color w:val="000000"/>
              </w:rPr>
              <w:t xml:space="preserve"> верхней границы диапазона числа оборотов 75 000 мин.-1, правостороннее вращение. Направление вращения: право- и левостороннее. Кратковременный интервальный режим 30 с применение, 30 </w:t>
            </w:r>
            <w:proofErr w:type="gramStart"/>
            <w:r w:rsidRPr="00FE5F01">
              <w:rPr>
                <w:color w:val="000000"/>
              </w:rPr>
              <w:t>с</w:t>
            </w:r>
            <w:proofErr w:type="gramEnd"/>
            <w:r w:rsidRPr="00FE5F01">
              <w:rPr>
                <w:color w:val="000000"/>
              </w:rPr>
              <w:t xml:space="preserve"> </w:t>
            </w:r>
            <w:proofErr w:type="gramStart"/>
            <w:r w:rsidRPr="00FE5F01">
              <w:rPr>
                <w:color w:val="000000"/>
              </w:rPr>
              <w:t>пауза</w:t>
            </w:r>
            <w:proofErr w:type="gramEnd"/>
            <w:r w:rsidRPr="00FE5F01">
              <w:rPr>
                <w:color w:val="000000"/>
              </w:rPr>
              <w:t xml:space="preserve"> при 60 000 мин.-1. Масса: 83 г ± 10 %. Размеры: 16 мм x 177 мм ± 5 %. Рабочий элемент Тип BF. ЭМС IEC/DIN EN 60601-1-2. Соответствие нормам IEC/DIN EN 60601-1.</w:t>
            </w:r>
          </w:p>
        </w:tc>
      </w:tr>
    </w:tbl>
    <w:p w:rsidR="00BD3779" w:rsidRPr="00AC7E72" w:rsidRDefault="00BD3779" w:rsidP="000C5639">
      <w:pPr>
        <w:jc w:val="both"/>
        <w:rPr>
          <w:sz w:val="24"/>
          <w:szCs w:val="24"/>
        </w:rPr>
        <w:sectPr w:rsidR="00BD3779"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B0" w:rsidRDefault="00E667B0">
      <w:r>
        <w:separator/>
      </w:r>
    </w:p>
  </w:endnote>
  <w:endnote w:type="continuationSeparator" w:id="0">
    <w:p w:rsidR="00E667B0" w:rsidRDefault="00E6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E667B0" w:rsidRDefault="00E667B0">
        <w:pPr>
          <w:pStyle w:val="a8"/>
          <w:jc w:val="center"/>
        </w:pPr>
        <w:r>
          <w:fldChar w:fldCharType="begin"/>
        </w:r>
        <w:r>
          <w:instrText>PAGE   \* MERGEFORMAT</w:instrText>
        </w:r>
        <w:r>
          <w:fldChar w:fldCharType="separate"/>
        </w:r>
        <w:r w:rsidR="00BB5E47">
          <w:rPr>
            <w:noProof/>
          </w:rPr>
          <w:t>8</w:t>
        </w:r>
        <w:r>
          <w:fldChar w:fldCharType="end"/>
        </w:r>
      </w:p>
    </w:sdtContent>
  </w:sdt>
  <w:p w:rsidR="00E667B0" w:rsidRDefault="00E667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B0" w:rsidRDefault="00E667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67B0" w:rsidRDefault="00E667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B0" w:rsidRDefault="00E667B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B5E47">
      <w:rPr>
        <w:rStyle w:val="aa"/>
        <w:noProof/>
      </w:rPr>
      <w:t>28</w:t>
    </w:r>
    <w:r>
      <w:rPr>
        <w:rStyle w:val="aa"/>
      </w:rPr>
      <w:fldChar w:fldCharType="end"/>
    </w:r>
  </w:p>
  <w:p w:rsidR="00E667B0" w:rsidRDefault="00E667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B0" w:rsidRDefault="00E667B0">
      <w:r>
        <w:separator/>
      </w:r>
    </w:p>
  </w:footnote>
  <w:footnote w:type="continuationSeparator" w:id="0">
    <w:p w:rsidR="00E667B0" w:rsidRDefault="00E6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3B34"/>
    <w:rsid w:val="004C3C29"/>
    <w:rsid w:val="004C3FE8"/>
    <w:rsid w:val="004C6FE4"/>
    <w:rsid w:val="004D0131"/>
    <w:rsid w:val="004D0389"/>
    <w:rsid w:val="004D0D8A"/>
    <w:rsid w:val="004D14E8"/>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31C8"/>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732C-25A6-48DB-958C-EA81479A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28</Pages>
  <Words>9176</Words>
  <Characters>70433</Characters>
  <Application>Microsoft Office Word</Application>
  <DocSecurity>0</DocSecurity>
  <Lines>586</Lines>
  <Paragraphs>158</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79451</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80</cp:revision>
  <cp:lastPrinted>2022-01-24T03:28:00Z</cp:lastPrinted>
  <dcterms:created xsi:type="dcterms:W3CDTF">2021-07-29T04:49:00Z</dcterms:created>
  <dcterms:modified xsi:type="dcterms:W3CDTF">2022-01-24T05:42:00Z</dcterms:modified>
</cp:coreProperties>
</file>